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F68" w:rsidRDefault="00B44F68" w:rsidP="00B44F68">
      <w:pPr>
        <w:pStyle w:val="NormalWeb"/>
      </w:pPr>
      <w:r>
        <w:t>УТВЕРЖДЕНО</w:t>
      </w:r>
      <w:r>
        <w:br/>
        <w:t>Советом Корпорации</w:t>
      </w:r>
      <w:r>
        <w:br/>
        <w:t>Протокол № 16 от 22 декабря 2006 г</w:t>
      </w:r>
    </w:p>
    <w:p w:rsidR="00B44F68" w:rsidRDefault="00B44F68" w:rsidP="00B44F68">
      <w:pPr>
        <w:pStyle w:val="NormalWeb"/>
        <w:jc w:val="center"/>
      </w:pPr>
      <w:r>
        <w:rPr>
          <w:rStyle w:val="Strong"/>
        </w:rPr>
        <w:t>ПОЛОЖЕНИЕ</w:t>
      </w:r>
      <w:r>
        <w:rPr>
          <w:b/>
          <w:bCs/>
        </w:rPr>
        <w:br/>
      </w:r>
      <w:r>
        <w:rPr>
          <w:rStyle w:val="Strong"/>
        </w:rPr>
        <w:t>О ВЗАИМОДЕЙСТВИИ ОАО «КОРПОРАЦИЯ «ТАКТИЧЕСКОЕ РАКЕТНОЕ ВООРУЖЕНИЕ»</w:t>
      </w:r>
      <w:r>
        <w:rPr>
          <w:b/>
          <w:bCs/>
        </w:rPr>
        <w:br/>
      </w:r>
      <w:r>
        <w:rPr>
          <w:rStyle w:val="Strong"/>
        </w:rPr>
        <w:t>СО СРЕДСТВАМИ МАССОВОЙ ИНФОРМАЦИИ</w:t>
      </w:r>
    </w:p>
    <w:p w:rsidR="00B44F68" w:rsidRDefault="00B44F68" w:rsidP="00B44F68">
      <w:pPr>
        <w:pStyle w:val="NormalWeb"/>
      </w:pPr>
      <w:r>
        <w:rPr>
          <w:rStyle w:val="Strong"/>
        </w:rPr>
        <w:t>1. ОБЛАСТЬ ПРИМЕНЕНИЯ</w:t>
      </w:r>
      <w:r>
        <w:rPr>
          <w:b/>
          <w:bCs/>
        </w:rPr>
        <w:br/>
      </w:r>
      <w:r>
        <w:t>1.1 Настоящее Положение устанавливает основные задачи и функции ОАО «Корпорация «Тактическое ракетное вооружение» при работе с российскими и зарубежными средствами массовой информации, а также порядок взаимодействия при этом со своими дочерними обществами.</w:t>
      </w:r>
    </w:p>
    <w:p w:rsidR="00B44F68" w:rsidRDefault="00B44F68" w:rsidP="00B44F68">
      <w:pPr>
        <w:pStyle w:val="NormalWeb"/>
      </w:pPr>
      <w:r>
        <w:rPr>
          <w:rStyle w:val="Strong"/>
        </w:rPr>
        <w:t>2. ОПРЕДЕЛЕНИЯ И СОКРАЩЕНИЯ</w:t>
      </w:r>
      <w:r>
        <w:rPr>
          <w:b/>
          <w:bCs/>
        </w:rPr>
        <w:br/>
      </w:r>
      <w:r>
        <w:t>2.1 В настоящем Положении используются следующие определения</w:t>
      </w:r>
      <w:r>
        <w:br/>
        <w:t>2.1.1 Средства массовой информации (СМИ):</w:t>
      </w:r>
      <w:r>
        <w:br/>
        <w:t>2.1.1.1 Российские центральные и зарубежные печатные СМИ – газеты, журналы и др. издания информационно-аналитического, рекламно-информационного, справочно-информационного, научно-технического и общественно-политического характера.</w:t>
      </w:r>
      <w:r>
        <w:br/>
        <w:t>2.1.1.2 Российские и зарубежные радио и телевизионные компании.</w:t>
      </w:r>
      <w:r>
        <w:br/>
        <w:t>2.1.1.3 Российские и зарубежные СМИ, использующие электронные носители информации в сети Интернет;</w:t>
      </w:r>
      <w:r>
        <w:br/>
        <w:t>2.1.2 Головное предприятие: ОАО «Корпорация «Тактическое ракетное вооружение».</w:t>
      </w:r>
      <w:r>
        <w:br/>
        <w:t>2.1.3 Предприятие Корпорации: дочернее общество ОАО «Корпорация «Тактическое ракетное вооружение».</w:t>
      </w:r>
      <w:r>
        <w:br/>
        <w:t xml:space="preserve">2.1.4 Корпорация: ОАО «Корпорация «Тактическое ракетное вооружение» в расширенном понимании (общая интегрированная структура), т.е. вместе с дочерними обществами. </w:t>
      </w:r>
      <w:r>
        <w:br/>
        <w:t>2.1.5 Целевая аудитория Корпорации: юридические и физические лица, способные повлиять на принятие благоприятных для Корпорации решений в области разработки, производства и продвижения на рынок ее продукции, оказать всестороннюю поддержку в формировании положительного имиджа Корпорации.</w:t>
      </w:r>
      <w:r>
        <w:br/>
        <w:t>2.1.6 Руководитель предприятия Корпорации: генеральный директор предприятия Корпорации.</w:t>
      </w:r>
      <w:r>
        <w:br/>
        <w:t>2.1.7 Информационно-рекламные материалы (ИРМ). По средствам размещения и видам носителей они включают:</w:t>
      </w:r>
      <w:r>
        <w:br/>
        <w:t> - публикации в печатных изданиях (статьи, фото, рекламные модули, сообщения);</w:t>
      </w:r>
      <w:r>
        <w:br/>
        <w:t> - видеоматериалы для видеофильмов или телевизионных трансляций;</w:t>
      </w:r>
      <w:r>
        <w:br/>
        <w:t> - материалы, размещаемые в рамках ресурсов сети Интернет.</w:t>
      </w:r>
      <w:r>
        <w:br/>
        <w:t xml:space="preserve">2.1.8 Информационная акция: проводимое во взаимодействии со СМИ мероприятие по подготовке, формированию содержательной части ИРМ и  их размещению на носителях СМИ, соответствующего вида. </w:t>
      </w:r>
      <w:r>
        <w:br/>
        <w:t>2.2 В настоящем Положении используются следующие сокращения:</w:t>
      </w:r>
      <w:r>
        <w:br/>
        <w:t>2.2.1 СМИ - средства массовой информации.</w:t>
      </w:r>
      <w:r>
        <w:br/>
        <w:t>2.2.2 ВЭД - внешнеэкономическая деятельность.</w:t>
      </w:r>
      <w:r>
        <w:br/>
        <w:t>2.2.3 ВВТ - вооружение и военная техника.</w:t>
      </w:r>
      <w:r>
        <w:br/>
        <w:t>2.2.4 ВТО - высокоточное оружие.</w:t>
      </w:r>
      <w:r>
        <w:br/>
        <w:t>2.2.5 ИРМ - информационно-рекламные материалы.</w:t>
      </w:r>
      <w:r>
        <w:br/>
        <w:t>2.2.6 ПВН – продукция военного назначения.</w:t>
      </w:r>
      <w:r>
        <w:br/>
        <w:t>2.2.7 ВТС – военно – техническое сотрудничество.</w:t>
      </w:r>
      <w:r>
        <w:br/>
      </w:r>
      <w:r>
        <w:lastRenderedPageBreak/>
        <w:t>2.2.8 ПДТК – постоянно действующая техническая комиссия.</w:t>
      </w:r>
      <w:r>
        <w:br/>
        <w:t>2.2.9 ЭК – экспертная комиссия.</w:t>
      </w:r>
    </w:p>
    <w:p w:rsidR="00B44F68" w:rsidRDefault="00B44F68" w:rsidP="00B44F68">
      <w:pPr>
        <w:pStyle w:val="NormalWeb"/>
      </w:pPr>
      <w:r>
        <w:rPr>
          <w:rStyle w:val="Strong"/>
        </w:rPr>
        <w:t>3. ОБЩИЕ ПОЛОЖЕНИЯ</w:t>
      </w:r>
      <w:r>
        <w:rPr>
          <w:b/>
          <w:bCs/>
        </w:rPr>
        <w:br/>
      </w:r>
      <w:r>
        <w:t>3.1 Корпорация в ходе взаимодействия со СМИ руководствуются федеральными законами, иными нормативными актами, решениями Президента Российской Федерации в области ВТС, своими уставами и нормативными актами, документами, регламентирующими защиту государственной  и служебной тайны.</w:t>
      </w:r>
      <w:r>
        <w:br/>
        <w:t>3.2 К размещению в СМИ допускаются ИРМ по разрабатываемой и производимой головным предприятием и предприятиями Корпорации ПВН, разрешенной к передаче иностранным заказчикам и имеющей оформленный рекламный паспорт, а также другие материалы о деятельности Корпорации и предприятий Корпорации, на которые оформлены соответствующие заключения ПДТК или ЭК о возможности размещения этих материалов в открытых СМИ.</w:t>
      </w:r>
      <w:r>
        <w:br/>
        <w:t>3.3 ИРМ о разрабатываемой и выпускаемой ПВН размещаются в СМИ в объеме сведений, утвержденных Министерством обороны Российской Федерации в рекламном паспорте на соответствующую ПВН.</w:t>
      </w:r>
      <w:r>
        <w:br/>
        <w:t>3.4 Используемые СМИ по своей тематической направленности, охвату аудитории, тиражу и действующей системе распространения (для  печатных изданий) должны соответствовать необходимой целевой аудитории Корпорации или предприятий Корпорации.</w:t>
      </w:r>
      <w:r>
        <w:br/>
        <w:t>3.5 Общая координация взаимодействия головного предприятия с предприятиями Корпорации при работе со СМИ возлагается на заместителя генерального директора головного предприятия по ВЭД и маркетингу.</w:t>
      </w:r>
    </w:p>
    <w:p w:rsidR="00B44F68" w:rsidRDefault="00B44F68" w:rsidP="00B44F68">
      <w:pPr>
        <w:pStyle w:val="NormalWeb"/>
      </w:pPr>
      <w:r>
        <w:rPr>
          <w:rStyle w:val="Strong"/>
        </w:rPr>
        <w:t>4. ЦЕЛИ И ЗАДАЧИ КОРПОРАЦИИ ПРИ ВЗАИМОДЕЙСТВИИ СО СМИ, СРЕДСТВА И ПУТИ ИХ РЕШЕНИЯ</w:t>
      </w:r>
      <w:r>
        <w:rPr>
          <w:b/>
          <w:bCs/>
        </w:rPr>
        <w:br/>
      </w:r>
      <w:r>
        <w:t>4.1 Основной целью взаимодействия со СМИ является создание благоприятной для Корпорации информационной среды, обеспечивающей ee поддержку в достижении основных стратегических целей.</w:t>
      </w:r>
      <w:r>
        <w:br/>
        <w:t xml:space="preserve">4.2 Основная цель достигается за счет организации системы взаимодействия с представителями СМИ, способными наиболее эффективным образом представлять целевой аудитории высокий потенциал, положительные стороны деятельности Корпорации и тенденции ее развития, и, на этой основе, формировать позитивный имидж компании.  </w:t>
      </w:r>
      <w:r>
        <w:br/>
        <w:t>4.3 Система целенаправленного взаимодействия со СМИ должна обеспечивать освещение миссии и основных стратегических целей Корпорации:</w:t>
      </w:r>
      <w:r>
        <w:br/>
        <w:t>4.3.1 Роль Корпорации в решении задач обороны и безопасности страны путем создания эффективных образцов и систем управляемого вооружения различных классов в интересах Вооруженных сил России;</w:t>
      </w:r>
      <w:r>
        <w:br/>
        <w:t xml:space="preserve">4.3.2 Деятельность и достижения Корпорации на мировых рынках вооружений. </w:t>
      </w:r>
      <w:r>
        <w:br/>
        <w:t>4.4 Формирование позитивного имиджа Корпорации в процессе взаимодействия со СМИ  обеспечивается за счет комплексного освещения ее положительных сторон деятельности:</w:t>
      </w:r>
      <w:r>
        <w:br/>
        <w:t xml:space="preserve">4.4.1 Отражение высокого научно-технического и производственного потенциала Корпорации, достижений в техническом перевооружении и совершенствовании лабораторной и испытательной баз. </w:t>
      </w:r>
      <w:r>
        <w:br/>
        <w:t>4.4.2 Достижения в построении современной эффективной системы управления Корпорацией на основе проведения целенаправленной кадровой политики и внедрения автоматизированных систем информационных технологий, а также развития систем качества предприятий Корпорации.</w:t>
      </w:r>
      <w:r>
        <w:br/>
        <w:t xml:space="preserve">4.4.3 Отражение широких и гибких возможностей Корпорации в области создания и модернизации конкурентоспособной ПВН, ее послепродажного обслуживания. </w:t>
      </w:r>
      <w:r>
        <w:lastRenderedPageBreak/>
        <w:t>Демонстрация новых разработок ВВТ.</w:t>
      </w:r>
      <w:r>
        <w:br/>
        <w:t>4.4.4 Отражение достижений корпоративного строительства, способствующее формированию надежной динамично развивающейся компании, нацеленной на создание новых конкурентоспособных образцов ПВН в интересах сохранения и расширения конкурентных позиций на мировых рынках вооружений.</w:t>
      </w:r>
      <w:r>
        <w:br/>
        <w:t>4.4.5 Отражение достижений Корпорации в социальной сфере, формирование о ней представления, как о компании, обеспечивающей необходимые условия труда и отдыха, а также социальной защиты своего  персонала.</w:t>
      </w:r>
      <w:r>
        <w:br/>
        <w:t xml:space="preserve">4.5 Взаимодействие со СМИ должно обеспечивать решение задач формирования позитивного имиджа Корпорации наиболее эффективным образом с учетом рационального расходования выделяемых ресурсов. В интересах этого целесообразны: комплексное и согласованное использование различных видов СМИ – печатных, эфирных (телевизионных и радио), электронных (ресурсы сети Интернет), а также координация проводимых работ всех организаций Корпорации. </w:t>
      </w:r>
      <w:r>
        <w:br/>
        <w:t xml:space="preserve">4.6 Координация головного предприятия и предприятий Корпорации в ходе их взаимодействия со СМИ должны обеспечивать концентрацию усилий за счет согласованного взаимодействия по тематике, срокам, видам СМИ и ресурсам, в соответствие с общими стратегическими целями, программами и задачами Корпорации. </w:t>
      </w:r>
      <w:r>
        <w:br/>
        <w:t>4.7 В качестве основного электронного средства распространения информации Корпорации должен рассматриваться «Веб–сайт» головного предприятия. Предприятия Корпорации регулярно – по мере появления значимых событий или новой открытой информации по ПВН, должны направлять соответствующие информационные модули в адрес редакции «Веб–сайт» головного предприятия.</w:t>
      </w:r>
      <w:r>
        <w:br/>
        <w:t>4.8 Задачи, выполняемые предприятиями Корпорации при взаимодействии со СМИ:</w:t>
      </w:r>
      <w:r>
        <w:br/>
        <w:t>4.8.1 Мониторинг СМИ, анализ возможностей, прогноз оценки эффективности взаимодействия с ними. Определение представителей СМИ, наиболее предпочтительных для сотрудничества.</w:t>
      </w:r>
      <w:r>
        <w:br/>
        <w:t>4.8.2 Установление творческих и деловых контактов с ведущими  и перспективными для сотрудничества представителями СМИ, выбор СМИ для партнерских отношений.</w:t>
      </w:r>
      <w:r>
        <w:br/>
        <w:t>4.8.3 Планирование информационных акций в СМИ с учетом других, проводимых предприятием Корпорации рекламных акций, в соответствии с общими стратегическими целями Корпорации и актуальными задачами предприятия Корпорации.</w:t>
      </w:r>
      <w:r>
        <w:br/>
        <w:t>4.8.4 Координация планов по выбору СМИ, форм ИРМ, срокам размещения и другим сопутствующим действиям с головной предприятием  соответствии с настоящим Положением.</w:t>
      </w:r>
      <w:r>
        <w:br/>
        <w:t xml:space="preserve">4.8.5 Согласование с головным предприятием ИРМ, подготавливаемых для размещения в СМИ. </w:t>
      </w:r>
      <w:r>
        <w:br/>
        <w:t>4.9 Головное предприятие на этапах планирования и реализации планов должно оказывать содействие и давать рекомендации другим предприятиям Корпорации по выбору СМИ, формам ИРМ и срокам их размещения.</w:t>
      </w:r>
    </w:p>
    <w:p w:rsidR="00B44F68" w:rsidRDefault="00B44F68" w:rsidP="00B44F68">
      <w:pPr>
        <w:pStyle w:val="NormalWeb"/>
      </w:pPr>
      <w:r>
        <w:rPr>
          <w:rStyle w:val="Strong"/>
        </w:rPr>
        <w:t>5. ФУНКЦИИ И ВЗАИМООТНОШЕНИЯ ПРЕДПРИЯТИЙ В ПРОЦЕССЕ КООРДИНАЦИИ РАБОТЫ СО СМИ</w:t>
      </w:r>
      <w:r>
        <w:rPr>
          <w:b/>
          <w:bCs/>
        </w:rPr>
        <w:br/>
      </w:r>
      <w:r>
        <w:t>5.1 Планирование.</w:t>
      </w:r>
      <w:r>
        <w:br/>
        <w:t xml:space="preserve">5.1.1 Основой для работы со СМИ каждого предприятия Корпорации является согласованный с головным предприятием и утвержденный руководителем предприятия Корпорации план работы на год.  </w:t>
      </w:r>
      <w:r>
        <w:br/>
        <w:t>5.1.2 Годовой план включает в себя:</w:t>
      </w:r>
      <w:r>
        <w:br/>
        <w:t> - наименование информационной акции;</w:t>
      </w:r>
      <w:r>
        <w:br/>
        <w:t xml:space="preserve"> - цель информационной акции; </w:t>
      </w:r>
      <w:r>
        <w:br/>
        <w:t> - ответственного за проведение информационной акции;</w:t>
      </w:r>
      <w:r>
        <w:br/>
        <w:t xml:space="preserve"> - вид и наименование СМИ, предполагаемого для взаимодействия по каждой </w:t>
      </w:r>
      <w:r>
        <w:lastRenderedPageBreak/>
        <w:t>информационной акции;</w:t>
      </w:r>
      <w:r>
        <w:br/>
        <w:t> - стоимость расходов.</w:t>
      </w:r>
      <w:r>
        <w:br/>
        <w:t xml:space="preserve">5.1.3 В целях наиболее эффективного использования СМИ, работу предприятий Корпорации целесообразно проводить в комплексе с другими рекламно-информационными мероприятиями. </w:t>
      </w:r>
      <w:r>
        <w:br/>
        <w:t>В плане работы рекомендуется учитывать программу участия  предприятия Корпорации в международных выставках и другие важные мероприятия.</w:t>
      </w:r>
      <w:r>
        <w:br/>
        <w:t>5.1.4 План взаимодействия со СМИ головного предприятия может включать обобщенные акции (в частности, публикации)  в целом по Корпорации (например, телевизионные съемки генерального директора Корпорации и руководителей предприятий Корпорации, обзорные статьи, рекламные модули и др.). К участию в таких акциях могут привлекаться предприятия Корпорации, каждое из которых  подготавливает необходимый блок ИРМ по своему предприятию.  Степень долевого финансового участия предприятий Корпорации в этом случае определяется генеральным директором Корпорации и руководителями предприятий Корпорации.</w:t>
      </w:r>
      <w:r>
        <w:br/>
        <w:t>5.1.5 Разработанный план каждого предприятия Корпорации  направляется в головное предприятие на согласование до 1 ноября года, предшествующего планируемому.</w:t>
      </w:r>
      <w:r>
        <w:br/>
        <w:t xml:space="preserve">5.1.6 Головное предприятие вправе внести рекомендации и коррективы (по взаимному согласованию) в представляемые планы в части смещения сроков,  выбора СМИ и подготовки совместных информационных акций.  </w:t>
      </w:r>
      <w:r>
        <w:br/>
        <w:t>5.1.7 План работы со СМИ каждого предприятия Корпорации после согласования утверждается руководителем предприятия Корпорации.</w:t>
      </w:r>
      <w:r>
        <w:br/>
        <w:t xml:space="preserve">5.1.8 Копии утвержденных планов направляются в головное предприятие до 20 ноября года, предшествующего планируемому. </w:t>
      </w:r>
      <w:r>
        <w:br/>
        <w:t>5.2 Выполнение мероприятий по взаимодействию со СМИ.</w:t>
      </w:r>
      <w:r>
        <w:br/>
        <w:t>5.2.1 Выполнение всех работ и функций, необходимых для осуществления информационных акций, предусмотренных планом работы со СМИ (заключение договоров, финансирование, подготовку ИРМ, контроль размещения и др.), каждое из предприятий Корпорации выполняет самостоятельно.</w:t>
      </w:r>
      <w:r>
        <w:br/>
        <w:t xml:space="preserve">5.2.2 В ИРМ, подготавливаемых предприятиями Корпорации для информационных акций, необходимо пропагандировать идеи корпоративного строительства, показывать достижения Корпорации и преимущества совместной деятельности. К размещению в СМИ не должна допускаться информация, способствующая  внутренней конкуренции между предприятиями Корпорации.   </w:t>
      </w:r>
      <w:r>
        <w:br/>
        <w:t>5.2.3 Материалы, подготавливаемые предприятием Корпорации к передаче в СМИ, должны быть предварительно рассмотрены его ПДТК или ЭК и на них должны быть соответствующим образом оформлено заключение о возможности их размещения в открытых источниках СМИ.</w:t>
      </w:r>
      <w:r>
        <w:br/>
        <w:t>Основанием для упоминания в подготавливаемых материалах наименований образцов и конкретных данных по ним может служить только информация, содержащаяся в  рекламных паспортах.</w:t>
      </w:r>
      <w:r>
        <w:br/>
        <w:t>К подготовке ИРМ, касающихся ПВН, привлекаются ведущие специалисты предприятий Корпорации.</w:t>
      </w:r>
      <w:r>
        <w:br/>
        <w:t>5.2.4 Копии подготовленных к печати материалов представляются в электронном (или печатном) виде в головное предприятие на согласование.</w:t>
      </w:r>
      <w:r>
        <w:br/>
        <w:t>5.2.5 В процессе подготовки ИРМ в редакции СМИ, ответственным лицом от предприятия Корпорации осуществляется необходимый контроль с тем, чтобы исключить выход в печать или эфир материалов, не соответствующих утвержденным ЭК.</w:t>
      </w:r>
      <w:r>
        <w:br/>
        <w:t>5.2.6 При подготовке головным предприятием обобщенных статей по Корпорации фрагменты материалов статей, касающиеся предприятий Корпорации, направляются последним на согласование не менее, чем за 2 недели до завершения верстки редакцией. Период согласования материалов не должен превышать 1 недели.</w:t>
      </w:r>
      <w:r>
        <w:br/>
      </w:r>
      <w:r>
        <w:lastRenderedPageBreak/>
        <w:t>5.3  Отчетность.</w:t>
      </w:r>
      <w:r>
        <w:br/>
        <w:t>5.3.1 Предприятие Корпорации, которое в течение года осуществляло взаимодействие со СМИ, составляет годовой отчет.</w:t>
      </w:r>
      <w:r>
        <w:br/>
        <w:t xml:space="preserve">5.3.2 Годовой (за предшествующий период) отчет включает в себя: </w:t>
      </w:r>
      <w:r>
        <w:br/>
        <w:t xml:space="preserve"> - перечень проведенных информационных акций; </w:t>
      </w:r>
      <w:r>
        <w:br/>
        <w:t> - наименование СМИ;</w:t>
      </w:r>
      <w:r>
        <w:br/>
        <w:t> - оценка эффективности информационных акций;</w:t>
      </w:r>
      <w:r>
        <w:br/>
        <w:t> -  расходы;</w:t>
      </w:r>
      <w:r>
        <w:br/>
        <w:t xml:space="preserve"> -  предложения по улучшению работы. </w:t>
      </w:r>
      <w:r>
        <w:br/>
        <w:t>Копия отчета, утвержденного руководителем предприятия Корпорации (в электронном и печатном виде), направляется  в головную организацию к 20 ноября.</w:t>
      </w:r>
      <w:r>
        <w:br/>
        <w:t>5.3.3 Обобщенный отчет по Корпорации, включающий предложения и рекомендации по улучшению работы, представляется генеральному директору Корпорации к 15 декабря.</w:t>
      </w:r>
      <w:r>
        <w:br/>
      </w:r>
      <w:r>
        <w:br/>
      </w:r>
      <w:r>
        <w:rPr>
          <w:rStyle w:val="Strong"/>
        </w:rPr>
        <w:t>ПРИЛОЖЕНИЕ (рекомендуемое)</w:t>
      </w:r>
      <w:r>
        <w:rPr>
          <w:b/>
          <w:bCs/>
        </w:rPr>
        <w:br/>
      </w:r>
      <w:r>
        <w:rPr>
          <w:rStyle w:val="Emphasis"/>
          <w:b/>
          <w:bCs/>
        </w:rPr>
        <w:t>Методические рекомендации по работе со СМИ</w:t>
      </w:r>
      <w:r>
        <w:rPr>
          <w:b/>
          <w:bCs/>
          <w:i/>
          <w:iCs/>
        </w:rPr>
        <w:br/>
      </w:r>
      <w:r>
        <w:t>Работа со СМИ на практике лежит на пересечении областей PR и рекламной деятельности. Эффективное решение стоящих задач достигается с учетом отработанных способов и методов этих направлений. В то же время следует учитывать, что ВВТ представляют совершенно особый вид продукции, который объективно требует и особых подходов в процессе выработки конкретных информационных и рекламных решений.</w:t>
      </w:r>
      <w:r>
        <w:br/>
      </w:r>
      <w:r>
        <w:rPr>
          <w:rStyle w:val="Emphasis"/>
          <w:b/>
          <w:bCs/>
        </w:rPr>
        <w:t>Основные особенности продукции военного назначения, как объекта информационной и рекламной поддержки:</w:t>
      </w:r>
      <w:r>
        <w:rPr>
          <w:b/>
          <w:bCs/>
          <w:i/>
          <w:iCs/>
        </w:rPr>
        <w:br/>
      </w:r>
      <w:r>
        <w:t>а) экспортные образцы ВВТ представляют собой продукцию, продвигаемую в другие страны, при этом в качестве покупателя выступают государственные структуры (обычно военные ведомства) и основными факторами, определяющими успех в продвижении того или иного образца в конкретном регионе, чаще всего выступают уровень межгосударственных отношений и исторически сложившиеся традиции оружейных поставок;</w:t>
      </w:r>
      <w:r>
        <w:br/>
        <w:t>б) ВВТ - это продукция, впрямую обеспечивающая безопасность страны-покупателя. К выработке решений с обеих сторон привлекаются эксперты, обладающие высоким уровнем специальной подготовки, на которых, в первую очередь, и должно быть сориентировано информационное обеспечение по продвижению продукции посредством СМИ;</w:t>
      </w:r>
      <w:r>
        <w:br/>
        <w:t xml:space="preserve">в) Потребительские свойства военной продукции обладают особой спецификой, использование эффектных рекламных приемов, успешно применяемых для продвижения любой другой продукции, здесь, без профессионального учета этой специфики могут выглядеть неуместно и не достигать нужной цели. </w:t>
      </w:r>
      <w:r>
        <w:br/>
        <w:t>С учетом этих особенностей продукции военного назначения, как объекта рекламной поддержки, могут быть сформулированы принципы наиболее эффективной рекламной и информационной деятельности в рамках работы со СМИ:</w:t>
      </w:r>
      <w:r>
        <w:br/>
        <w:t>1. При продвижении продукции ВВТ (в особенности на новые сегменты рынка) нельзя рассчитывать на решающую роль СМИ. Роль СМИ чаще всего является обеспечивающей (поддерживающей). В то же время, продуманно организованная система публикаций способна вызвать исходный импульс интереса к компании и ее продукции, который впоследствии может быть усилен за счет других средств.</w:t>
      </w:r>
      <w:r>
        <w:br/>
        <w:t>2. При подготовке рекламных акций по продвижению продукции военного назначения на первый план должна выступать информационная составляющая, в отличии от общепризнанных приемов  производства рекламной продукции, когда «имиджевой» стороне (рассчитанной на психологическое воздействие) отводится доминирующая роль.</w:t>
      </w:r>
      <w:r>
        <w:br/>
        <w:t xml:space="preserve">3. Эффект необходимого психологического воздействия на потенциального партнера может достигаться за счет комплексного использованием различных рекламных акций, </w:t>
      </w:r>
      <w:r>
        <w:lastRenderedPageBreak/>
        <w:t xml:space="preserve">концептуально объединяемых под решение конкретных маркетинговых задач. В частности, целесообразно планы сотрудничества со СМИ координировать с планами рекламно-выставочной деятельности, при этом предпочтительно комплексное использование различных видов СМИ – печатных, электронных (Интернет) и телевизионных. </w:t>
      </w:r>
      <w:r>
        <w:br/>
        <w:t>Ведущие международные выставки имеет смысл «подкреплять» рекламно-информационными материалами независимо от участия в них предприятия. В этом случае такие материалы способны частично компенсировать отсутствие представительства Корпорации на выставке.</w:t>
      </w:r>
      <w:r>
        <w:br/>
        <w:t xml:space="preserve">4. Убедительность подачи материала в печатных СМИ обеспечивается, прежде всего, за счет достижения эффекта объективности, который определяется как квалификацией и независимостью авторов публикаций, так и авторитетностью используемых российских и зарубежных изданий. Представляется целесообразным совместное сбалансированное использование изданий различного характера: </w:t>
      </w:r>
      <w:r>
        <w:br/>
        <w:t>специализированных (информационно-аналитических), рекламно-информационных, справочных и научно-технических. Всеракурсное освещение деятельности предприятия способствует формированию его  положительного имиджа.</w:t>
      </w:r>
      <w:r>
        <w:br/>
        <w:t>5. При распределении выделяемых на публикации средств, следует исходить из объективной оценки рекламно-информационной эффективности того или иного издания и затрат на публикации с учетом сложившейся конъюнктуры рынка услуг СМИ и реальных возможностей изданий по охвату целевой аудитории.</w:t>
      </w:r>
      <w:r>
        <w:br/>
        <w:t>Публикации в признанных изданиях с большой читательской аудиторией объективно сопряжены с большими расходами, поскольку их функционирование требует от издательств значительных средств, связанных с выпуском соответствующего тиража, затрат на обеспечение подписки и развитой системы распространения, содержание квалифицированных кадров и др.</w:t>
      </w:r>
      <w:r>
        <w:br/>
        <w:t xml:space="preserve">Сегодня на российском рынке рекламно-информационных услуг действует достаточно большое число изданий, предлагающих относительно недорогие расценки, однако эффективность большинства из них весьма низкая. В качестве основных причин этого следует отметить: </w:t>
      </w:r>
      <w:r>
        <w:br/>
        <w:t> - отсутствие идеологии и четкого позиционирования многих изданий. Отсюда смешение стилей, в том числе по языку (русский в вперемежку с английским), размытость целевой аудитории;</w:t>
      </w:r>
      <w:r>
        <w:br/>
        <w:t> - недостаточная привлекательность публикуемых материалов (похожие материалы кочуют из журнала в журнал и из номера в номер), отсутствие оригинальных журналистских работ, недостаточная аналитическая составляющая;</w:t>
      </w:r>
      <w:r>
        <w:br/>
        <w:t xml:space="preserve"> - малотиражность изданий и неразвитая система их распространения. Многие издания существуют исключительно за счет оплачиваемых заказчиком статей и не предпринимают особых попыток по улучшению облика изданий, увеличению тиражей и расширению регионов распространения.  Имеются примеры успешного существования на российском рынке изданий, чей тираж, в основном, ограничивается лишь распространением среди рекламодателей. </w:t>
      </w:r>
      <w:r>
        <w:br/>
        <w:t>Все это требует весьма взвешенного подхода к выбору изданий для публикаций и владения определенной конфиденциальной информацией (знание реальных тиражей, системы распространения и др.). На этом фоне более привлекательны международные, в том числе региональные издания, которые имеют сертифицированные тиражи и достаточно известные сферы распространения.</w:t>
      </w:r>
      <w:r>
        <w:br/>
      </w:r>
      <w:r>
        <w:rPr>
          <w:rStyle w:val="Emphasis"/>
          <w:b/>
          <w:bCs/>
        </w:rPr>
        <w:t>Оценка рекламно-информационной эффективности печатных изданий.</w:t>
      </w:r>
      <w:r>
        <w:rPr>
          <w:b/>
          <w:bCs/>
          <w:i/>
          <w:iCs/>
        </w:rPr>
        <w:br/>
      </w:r>
      <w:r>
        <w:t>В качестве критерия рекламно-информационной эффективности изданий может быть принята оценка степени охвата целевой аудитории (вопрос экономических затрат здесь не рассматривается, он может быть учтен при окончательной оценке).  В первом приближении такая оценка может быть выполнена на основе следующего соотношения:</w:t>
      </w:r>
      <w:r>
        <w:br/>
      </w:r>
      <w:r>
        <w:lastRenderedPageBreak/>
        <w:t>Криэ = (1 / Т0) Х (Т Х Кц Х Кчс);</w:t>
      </w:r>
      <w:r>
        <w:br/>
        <w:t>где</w:t>
      </w:r>
      <w:r>
        <w:br/>
        <w:t>Криэ – относительный коэффициент рекламно-информационной эффективности издания (критерий оценки);</w:t>
      </w:r>
      <w:r>
        <w:br/>
        <w:t>Т – реальный тираж издания (он не всегда соответствует заявляемому);</w:t>
      </w:r>
      <w:r>
        <w:br/>
        <w:t xml:space="preserve">Кц – коэффициент охвата целевой аудитории, который показывает какая часть тиража попадает в область целевой аудитории. Для авторитетных специальных изданий этот коэффициент может приближаться к 0,8-1,0; чем более издания «размыты» по своей тематике, тем меньшая величина данного коэффициента. Для «желтой» прессы этот коэффициент практически близок к нулю. </w:t>
      </w:r>
      <w:r>
        <w:br/>
        <w:t>Кч – коэффициент читательского интереса (Кч = 1 – 4) – по сути, это среднее число читателей одного экземпляра (выпуска) издания. К примеру, ежедневную газету, как правило, читает один человек,  Кч = 1. Ежемесячный журнал, попадающий в профессиональную среду, скорее всего, прочитают несколько человек.</w:t>
      </w:r>
      <w:r>
        <w:br/>
        <w:t>Кц и Кч могут определяться на основе статистических исследований (крупные издания такие исследования проводят) или экспертных методов;</w:t>
      </w:r>
      <w:r>
        <w:br/>
        <w:t xml:space="preserve">Т0- базовый тираж; в первом приближении можно принять Т0 ~20000 (средний тираж для большинства региональных специализированных изданий). При сравнительном анализе различных изданий точная величина  Т0 особого значения не имеет. </w:t>
      </w:r>
    </w:p>
    <w:p w:rsidR="00B44F68" w:rsidRDefault="00B44F68" w:rsidP="00B44F68">
      <w:pPr>
        <w:pStyle w:val="NormalWeb"/>
      </w:pPr>
      <w:r>
        <w:t xml:space="preserve">Примеры: </w:t>
      </w:r>
      <w:r>
        <w:br/>
        <w:t>1) оценка журнала «Вестник Воздушного флота»:</w:t>
      </w:r>
      <w:r>
        <w:br/>
        <w:t>Криэ = (1 / 20000) Х (5000 Х 0,7 Х 2,0) = 0,35 (оптимистическая оценка);</w:t>
      </w:r>
      <w:r>
        <w:br/>
        <w:t>Т=5000 соответствует официальному тиражу; Кц=0,7; Кч = 2.</w:t>
      </w:r>
      <w:r>
        <w:br/>
        <w:t>Криэ = (1 / 20000) Х (3000 Х 0,5 Х 1,0) = 0,075; (пессимистическая оценка);</w:t>
      </w:r>
      <w:r>
        <w:br/>
        <w:t>Т=3000 соответствует экспертной оценке реального тиража; Кц=0,5; Кч = 1.</w:t>
      </w:r>
    </w:p>
    <w:p w:rsidR="00B44F68" w:rsidRDefault="00B44F68" w:rsidP="00B44F68">
      <w:pPr>
        <w:pStyle w:val="NormalWeb"/>
      </w:pPr>
      <w:r>
        <w:t>2) оценка журнала ARMADA:</w:t>
      </w:r>
      <w:r>
        <w:br/>
        <w:t>Криэ = (1 / 20000) Х (22500 Х 0,7 Х 2,0) = 1,575;</w:t>
      </w:r>
      <w:r>
        <w:br/>
        <w:t>Т=20000 соответствует сертифицированному тиражу; Кц=0,7; Кч = 2 (экспертные оценки).</w:t>
      </w:r>
      <w:r>
        <w:br/>
        <w:t>Изложенные соображения целесообразно учитывать при разработке планов работ с печатными СМИ.</w:t>
      </w:r>
      <w:r>
        <w:br/>
        <w:t xml:space="preserve">Приведенная методика оценки рекламно-информационной эффективности печатных изданий имеет прикидочный характер. Вместе с тем сам подход к данному вопросу, также как и основные элементы, вошедшие в формулу количественной оценки, могут оказаться продуктивными, при условии дополнительного сбора статистических данных и применения известных методов экспертных оценок. </w:t>
      </w:r>
      <w:r>
        <w:br/>
        <w:t>В этом смысле предлагаемый методический подход в процессе своего практического применения может быть существенно улучшен.</w:t>
      </w:r>
    </w:p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 w:grammar="clean"/>
  <w:defaultTabStop w:val="708"/>
  <w:characterSpacingControl w:val="doNotCompress"/>
  <w:compat/>
  <w:rsids>
    <w:rsidRoot w:val="00B44F68"/>
    <w:rsid w:val="00821C9F"/>
    <w:rsid w:val="00B36489"/>
    <w:rsid w:val="00B44F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44F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B44F68"/>
    <w:rPr>
      <w:b/>
      <w:bCs/>
    </w:rPr>
  </w:style>
  <w:style w:type="character" w:styleId="Emphasis">
    <w:name w:val="Emphasis"/>
    <w:basedOn w:val="DefaultParagraphFont"/>
    <w:uiPriority w:val="20"/>
    <w:qFormat/>
    <w:rsid w:val="00B44F6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446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3200</Words>
  <Characters>18246</Characters>
  <Application>Microsoft Office Word</Application>
  <DocSecurity>0</DocSecurity>
  <Lines>152</Lines>
  <Paragraphs>42</Paragraphs>
  <ScaleCrop>false</ScaleCrop>
  <Company>WWL Corp.</Company>
  <LinksUpToDate>false</LinksUpToDate>
  <CharactersWithSpaces>21404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2</cp:revision>
  <dcterms:created xsi:type="dcterms:W3CDTF">2012-06-05T11:28:00Z</dcterms:created>
  <dcterms:modified xsi:type="dcterms:W3CDTF">2012-06-05T11:28:00Z</dcterms:modified>
</cp:coreProperties>
</file>